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6F1024"/>
            <w:tcMar>
              <w:top w:w="170" w:type="dxa"/>
              <w:start w:w="200" w:type="dxa"/>
              <w:bottom w:w="170" w:type="dxa"/>
              <w:end w:w="20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企业财税决策情报  ·  2026.10.25</w:t>
            </w:r>
          </w:p>
        </w:tc>
      </w:tr>
    </w:tbl>
    <w:p/>
    <w:p>
      <w:pPr>
        <w:spacing w:before="240" w:after="140" w:line="293" w:lineRule="auto"/>
        <w:jc w:val="center"/>
        <w:keepLines/>
      </w:pPr>
      <w:r>
        <w:rPr>
          <w:rFonts w:ascii="Microsoft YaHei" w:hAnsi="Microsoft YaHei" w:eastAsia="Microsoft YaHei"/>
          <w:b/>
          <w:i w:val="0"/>
          <w:color w:val="B89455"/>
          <w:sz w:val="34"/>
        </w:rPr>
        <w:t>财税早报</w:t>
      </w:r>
    </w:p>
    <w:p>
      <w:pPr>
        <w:spacing w:before="0" w:after="200" w:line="293" w:lineRule="auto"/>
        <w:jc w:val="center"/>
        <w:keepLines/>
      </w:pPr>
      <w:r>
        <w:rPr>
          <w:rFonts w:ascii="Microsoft YaHei" w:hAnsi="Microsoft YaHei" w:eastAsia="Microsoft YaHei"/>
          <w:b/>
          <w:i w:val="0"/>
          <w:color w:val="6F1024"/>
          <w:sz w:val="60"/>
        </w:rPr>
        <w:t>企业经营风险与机会</w:t>
      </w:r>
    </w:p>
    <w:p>
      <w:pPr>
        <w:spacing w:before="0" w:after="360" w:line="293" w:lineRule="auto"/>
        <w:jc w:val="center"/>
        <w:keepLines/>
      </w:pPr>
      <w:r>
        <w:rPr>
          <w:rFonts w:ascii="Microsoft YaHei" w:hAnsi="Microsoft YaHei" w:eastAsia="Microsoft YaHei"/>
          <w:b/>
          <w:i w:val="0"/>
          <w:color w:val="262626"/>
          <w:sz w:val="30"/>
        </w:rPr>
        <w:t>企业家决策版</w:t>
      </w:r>
    </w:p>
    <w:p>
      <w:pPr>
        <w:spacing w:after="320"/>
        <w:jc w:val="center"/>
      </w:pPr>
      <w:r>
        <w:rPr>
          <w:rFonts w:ascii="Microsoft YaHei" w:hAnsi="Microsoft YaHei" w:eastAsia="Microsoft YaHei"/>
          <w:color w:val="B89455"/>
          <w:sz w:val="20"/>
        </w:rPr>
        <w:t>━━━━━━━━━━━━━━━━━━━━━━━━━━━━━━━━</w:t>
      </w:r>
    </w:p>
    <w:p>
      <w:pPr>
        <w:spacing w:before="0" w:after="100" w:line="293" w:lineRule="auto"/>
        <w:jc w:val="center"/>
        <w:keepLines/>
      </w:pPr>
      <w:r>
        <w:rPr>
          <w:rFonts w:ascii="Microsoft YaHei" w:hAnsi="Microsoft YaHei" w:eastAsia="Microsoft YaHei"/>
          <w:b/>
          <w:i w:val="0"/>
          <w:color w:val="9E1B32"/>
          <w:sz w:val="25"/>
        </w:rPr>
        <w:t>10月26日申报节点  ×  11月1日税务执行节点</w:t>
      </w:r>
    </w:p>
    <w:p>
      <w:pPr>
        <w:spacing w:before="0" w:after="400" w:line="293" w:lineRule="auto"/>
        <w:jc w:val="center"/>
        <w:keepLines/>
      </w:pPr>
      <w:r>
        <w:rPr>
          <w:rFonts w:ascii="Microsoft YaHei" w:hAnsi="Microsoft YaHei" w:eastAsia="Microsoft YaHei"/>
          <w:b w:val="0"/>
          <w:i w:val="0"/>
          <w:color w:val="5B5B5B"/>
          <w:sz w:val="23"/>
        </w:rPr>
        <w:t>三季度发票数据与企业经营机会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257"/>
      </w:tblGrid>
      <w:tr>
        <w:tc>
          <w:tcPr>
            <w:tcW w:type="dxa" w:w="4819"/>
            <w:shd w:fill="F8ECEE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5" w:color="E4D8D8"/>
              <w:start w:val="single" w:sz="5" w:color="E4D8D8"/>
              <w:bottom w:val="single" w:sz="5" w:color="E4D8D8"/>
              <w:end w:val="single" w:sz="5" w:color="E4D8D8"/>
            </w:tcBorders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9E1B32"/>
                <w:sz w:val="18"/>
              </w:rPr>
              <w:t>核验截至</w:t>
            </w:r>
          </w:p>
        </w:tc>
        <w:tc>
          <w:tcPr>
            <w:tcW w:type="dxa" w:w="4819"/>
            <w:shd w:fill="FBF9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5" w:color="E4D8D8"/>
              <w:start w:val="single" w:sz="5" w:color="E4D8D8"/>
              <w:bottom w:val="single" w:sz="5" w:color="E4D8D8"/>
              <w:end w:val="single" w:sz="5" w:color="E4D8D8"/>
            </w:tcBorders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北京时间 2026年10月25日 08:07</w:t>
            </w:r>
          </w:p>
        </w:tc>
      </w:tr>
      <w:tr>
        <w:tc>
          <w:tcPr>
            <w:tcW w:type="dxa" w:w="4819"/>
            <w:shd w:fill="F8ECEE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5" w:color="E4D8D8"/>
              <w:start w:val="single" w:sz="5" w:color="E4D8D8"/>
              <w:bottom w:val="single" w:sz="5" w:color="E4D8D8"/>
              <w:end w:val="single" w:sz="5" w:color="E4D8D8"/>
            </w:tcBorders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9E1B32"/>
                <w:sz w:val="18"/>
              </w:rPr>
              <w:t>观察窗口</w:t>
            </w:r>
          </w:p>
        </w:tc>
        <w:tc>
          <w:tcPr>
            <w:tcW w:type="dxa" w:w="4819"/>
            <w:shd w:fill="FBF9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5" w:color="E4D8D8"/>
              <w:start w:val="single" w:sz="5" w:color="E4D8D8"/>
              <w:bottom w:val="single" w:sz="5" w:color="E4D8D8"/>
              <w:end w:val="single" w:sz="5" w:color="E4D8D8"/>
            </w:tcBorders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2026年10月22日—10月25日</w:t>
            </w:r>
          </w:p>
        </w:tc>
      </w:tr>
      <w:tr>
        <w:tc>
          <w:tcPr>
            <w:tcW w:type="dxa" w:w="4819"/>
            <w:shd w:fill="F8ECEE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5" w:color="E4D8D8"/>
              <w:start w:val="single" w:sz="5" w:color="E4D8D8"/>
              <w:bottom w:val="single" w:sz="5" w:color="E4D8D8"/>
              <w:end w:val="single" w:sz="5" w:color="E4D8D8"/>
            </w:tcBorders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9E1B32"/>
                <w:sz w:val="18"/>
              </w:rPr>
              <w:t>服务对象</w:t>
            </w:r>
          </w:p>
        </w:tc>
        <w:tc>
          <w:tcPr>
            <w:tcW w:type="dxa" w:w="4819"/>
            <w:shd w:fill="FBF9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5" w:color="E4D8D8"/>
              <w:start w:val="single" w:sz="5" w:color="E4D8D8"/>
              <w:bottom w:val="single" w:sz="5" w:color="E4D8D8"/>
              <w:end w:val="single" w:sz="5" w:color="E4D8D8"/>
            </w:tcBorders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企业法定代表人、实际控制人、董事长、总经理、CFO及税务负责人</w:t>
            </w:r>
          </w:p>
        </w:tc>
      </w:tr>
    </w:tbl>
    <w:p/>
    <w:p>
      <w:pPr>
        <w:spacing w:before="360" w:after="80" w:line="293" w:lineRule="auto"/>
        <w:jc w:val="center"/>
        <w:keepLines/>
      </w:pPr>
      <w:r>
        <w:rPr>
          <w:rFonts w:ascii="Microsoft YaHei" w:hAnsi="Microsoft YaHei" w:eastAsia="Microsoft YaHei"/>
          <w:b w:val="0"/>
          <w:i w:val="0"/>
          <w:color w:val="5B5B5B"/>
          <w:sz w:val="20"/>
        </w:rPr>
        <w:t>以官方原文为依据｜以真实业务为前提｜以可执行行动为落点</w:t>
      </w:r>
    </w:p>
    <w:p>
      <w:pPr>
        <w:spacing w:before="0" w:after="0" w:line="293" w:lineRule="auto"/>
        <w:jc w:val="center"/>
        <w:keepLines/>
      </w:pPr>
      <w:r>
        <w:rPr>
          <w:rFonts w:ascii="Microsoft YaHei" w:hAnsi="Microsoft YaHei" w:eastAsia="Microsoft YaHei"/>
          <w:b w:val="0"/>
          <w:i w:val="0"/>
          <w:color w:val="5B5B5B"/>
          <w:sz w:val="18"/>
        </w:rPr>
        <w:t>本期聚焦政策执行与经营决策，不将历史政策包装为当日新政。</w:t>
      </w: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01  </w:t>
      </w:r>
      <w:r>
        <w:rPr>
          <w:rFonts w:ascii="Microsoft YaHei" w:hAnsi="Microsoft YaHei" w:eastAsia="Microsoft YaHei"/>
          <w:b/>
          <w:color w:val="6F1024"/>
          <w:sz w:val="36"/>
        </w:rPr>
        <w:t>今日总览</w:t>
      </w:r>
      <w:r>
        <w:rPr>
          <w:rFonts w:ascii="Microsoft YaHei" w:hAnsi="Microsoft YaHei" w:eastAsia="Microsoft YaHei"/>
          <w:color w:val="5B5B5B"/>
          <w:sz w:val="19"/>
        </w:rPr>
        <w:t xml:space="preserve">  老板先看 · 3分钟抓住重点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638"/>
            <w:shd w:fill="F8ECEE"/>
            <w:tcMar>
              <w:top w:w="150" w:type="dxa"/>
              <w:start w:w="190" w:type="dxa"/>
              <w:bottom w:w="150" w:type="dxa"/>
              <w:end w:w="190" w:type="dxa"/>
            </w:tcMar>
            <w:tcBorders>
              <w:top w:val="single" w:sz="8" w:color="B89455"/>
              <w:start w:val="single" w:sz="8" w:color="B89455"/>
              <w:bottom w:val="single" w:sz="4" w:color="E4D8D8"/>
              <w:end w:val="single" w:sz="4" w:color="E4D8D8"/>
            </w:tcBorders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9E1B32"/>
                <w:sz w:val="22"/>
              </w:rPr>
              <w:t>本期结论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color w:val="262626"/>
                <w:sz w:val="20"/>
              </w:rPr>
              <w:t>截至北京时间2026年10月25日08:07，本次检索未发现10月25日当天新发布且对全国企业普遍适用的重大财税文件。本期重点是已发布政策的执行节点、官方发票统计数据及其对企业经营的启示；“未检索到”不等于对所有机关发布情况作绝对否定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2381"/>
        <w:gridCol w:w="2494"/>
        <w:gridCol w:w="3742"/>
      </w:tblGrid>
      <w:tr>
        <w:trPr>
          <w:tblHeader w:val="true"/>
        </w:trPr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优先级</w:t>
            </w:r>
          </w:p>
        </w:tc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事项与时间</w:t>
            </w:r>
          </w:p>
        </w:tc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谁需要关注</w:t>
            </w:r>
          </w:p>
        </w:tc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管理层现在做什么</w:t>
            </w:r>
          </w:p>
        </w:tc>
      </w:tr>
      <w:tr>
        <w:tc>
          <w:tcPr>
            <w:tcW w:type="dxa" w:w="90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立即</w:t>
            </w:r>
          </w:p>
        </w:tc>
        <w:tc>
          <w:tcPr>
            <w:tcW w:type="dxa" w:w="238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10月26日申报截止</w:t>
            </w:r>
          </w:p>
        </w:tc>
        <w:tc>
          <w:tcPr>
            <w:tcW w:type="dxa" w:w="249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实行月度/季度申报的相关纳税人</w:t>
            </w:r>
          </w:p>
        </w:tc>
        <w:tc>
          <w:tcPr>
            <w:tcW w:type="dxa" w:w="374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今天核对申报税种、税会差异、发票、缴款余额及回执安排。</w:t>
            </w:r>
          </w:p>
        </w:tc>
      </w:tr>
      <w:tr>
        <w:tc>
          <w:tcPr>
            <w:tcW w:type="dxa" w:w="90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立即</w:t>
            </w:r>
          </w:p>
        </w:tc>
        <w:tc>
          <w:tcPr>
            <w:tcW w:type="dxa" w:w="238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研发费用加计扣除预缴选择</w:t>
            </w:r>
          </w:p>
        </w:tc>
        <w:tc>
          <w:tcPr>
            <w:tcW w:type="dxa" w:w="249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符合条件、拟在10月预缴享受的企业</w:t>
            </w:r>
          </w:p>
        </w:tc>
        <w:tc>
          <w:tcPr>
            <w:tcW w:type="dxa" w:w="374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核对研发辅助账和A107012；本次未享受的，仍可按规定在年度汇算清缴时享受。</w:t>
            </w:r>
          </w:p>
        </w:tc>
      </w:tr>
      <w:tr>
        <w:tc>
          <w:tcPr>
            <w:tcW w:type="dxa" w:w="90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7天内</w:t>
            </w:r>
          </w:p>
        </w:tc>
        <w:tc>
          <w:tcPr>
            <w:tcW w:type="dxa" w:w="238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11月1日前“交易即开票”</w:t>
            </w:r>
          </w:p>
        </w:tc>
        <w:tc>
          <w:tcPr>
            <w:tcW w:type="dxa" w:w="249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符合公告定义的成品油零售加油站</w:t>
            </w:r>
          </w:p>
        </w:tc>
        <w:tc>
          <w:tcPr>
            <w:tcW w:type="dxa" w:w="374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完成乐企接入、交易数据与发票信息联调，形成抽样验收记录。</w:t>
            </w:r>
          </w:p>
        </w:tc>
      </w:tr>
      <w:tr>
        <w:tc>
          <w:tcPr>
            <w:tcW w:type="dxa" w:w="90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7天内</w:t>
            </w:r>
          </w:p>
        </w:tc>
        <w:tc>
          <w:tcPr>
            <w:tcW w:type="dxa" w:w="238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全国税务行政处罚裁量基准施行</w:t>
            </w:r>
          </w:p>
        </w:tc>
        <w:tc>
          <w:tcPr>
            <w:tcW w:type="dxa" w:w="249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相关纳税人、扣缴义务人及缴费主体</w:t>
            </w:r>
          </w:p>
        </w:tc>
        <w:tc>
          <w:tcPr>
            <w:tcW w:type="dxa" w:w="374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核对涉税事项、内部流程及陈述申辩等程序权利；不能理解为统一加重处罚。</w:t>
            </w:r>
          </w:p>
        </w:tc>
      </w:tr>
      <w:tr>
        <w:tc>
          <w:tcPr>
            <w:tcW w:type="dxa" w:w="90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个人专项</w:t>
            </w:r>
          </w:p>
        </w:tc>
        <w:tc>
          <w:tcPr>
            <w:tcW w:type="dxa" w:w="238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离岸信托个税历史事项过渡期已于10月22日届满</w:t>
            </w:r>
          </w:p>
        </w:tc>
        <w:tc>
          <w:tcPr>
            <w:tcW w:type="dxa" w:w="249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持有相关离岸信托或具有类似安排的个人</w:t>
            </w:r>
          </w:p>
        </w:tc>
        <w:tc>
          <w:tcPr>
            <w:tcW w:type="dxa" w:w="374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梳理装入财产、收益、控制关系和历史申报，按个案核实。</w:t>
            </w:r>
          </w:p>
        </w:tc>
      </w:tr>
      <w:tr>
        <w:tc>
          <w:tcPr>
            <w:tcW w:type="dxa" w:w="90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经营观察</w:t>
            </w:r>
          </w:p>
        </w:tc>
        <w:tc>
          <w:tcPr>
            <w:tcW w:type="dxa" w:w="238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前三季度工业销售收入+7.4%；设备采购金额+12.6%</w:t>
            </w:r>
          </w:p>
        </w:tc>
        <w:tc>
          <w:tcPr>
            <w:tcW w:type="dxa" w:w="249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制造、设备、工业软件、物流及相关供应链</w:t>
            </w:r>
          </w:p>
        </w:tc>
        <w:tc>
          <w:tcPr>
            <w:tcW w:type="dxa" w:w="374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以客户预算、真实订单、交付和回款验证机会，不按宏观增速盲目备货。</w:t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董事长今天的三个决策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确认10月26日申报与资金安排：明确责任人、复核人、提交时间和申报回执留存。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对适用加油站明确系统切换责任：运营、IT、财务共同确认支付场景、开票抬头、数据接口及验收标准。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将公司税务与股东个人涉税事项分开管理：尤其是离岸信托、境外实体及个人资产相关事项。</w:t>
      </w:r>
    </w:p>
    <w:p>
      <w:pPr>
        <w:spacing w:before="40" w:after="100" w:line="293" w:lineRule="auto"/>
        <w:keepLines/>
      </w:pPr>
      <w:r>
        <w:rPr>
          <w:rFonts w:ascii="Microsoft YaHei" w:hAnsi="Microsoft YaHei" w:eastAsia="Microsoft YaHei"/>
          <w:b w:val="0"/>
          <w:i/>
          <w:color w:val="5B5B5B"/>
          <w:sz w:val="18"/>
        </w:rPr>
        <w:t>判断边界：政策数据可以提示需求方向，但不能自动转化为企业订单、利润、融资额度或补贴资格。</w:t>
      </w: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02  </w:t>
      </w:r>
      <w:r>
        <w:rPr>
          <w:rFonts w:ascii="Microsoft YaHei" w:hAnsi="Microsoft YaHei" w:eastAsia="Microsoft YaHei"/>
          <w:b/>
          <w:color w:val="6F1024"/>
          <w:sz w:val="36"/>
        </w:rPr>
        <w:t>10月26日申报节点</w:t>
      </w:r>
      <w:r>
        <w:rPr>
          <w:rFonts w:ascii="Microsoft YaHei" w:hAnsi="Microsoft YaHei" w:eastAsia="Microsoft YaHei"/>
          <w:color w:val="5B5B5B"/>
          <w:sz w:val="19"/>
        </w:rPr>
        <w:t xml:space="preserve">  法定期限与优惠选择要分开看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638"/>
            <w:shd w:fill="F8ECEE"/>
            <w:tcMar>
              <w:top w:w="150" w:type="dxa"/>
              <w:start w:w="190" w:type="dxa"/>
              <w:bottom w:w="150" w:type="dxa"/>
              <w:end w:w="190" w:type="dxa"/>
            </w:tcMar>
            <w:tcBorders>
              <w:top w:val="single" w:sz="8" w:color="B89455"/>
              <w:start w:val="single" w:sz="8" w:color="B89455"/>
              <w:bottom w:val="single" w:sz="4" w:color="E4D8D8"/>
              <w:end w:val="single" w:sz="4" w:color="E4D8D8"/>
            </w:tcBorders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9E1B32"/>
                <w:sz w:val="22"/>
              </w:rPr>
              <w:t>政策事实｜申报期限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color w:val="262626"/>
                <w:sz w:val="20"/>
              </w:rPr>
              <w:t>税总办征科函〔2025〕64号明确：2026年10月1日至7日放假7天，实行每月或每季度期满后15日内申报纳税的相关税种，申报期限顺延至10月26日。具体税种、属地特殊安排及企业自身申报义务，应以主管税务机关适用口径为准。[S03]</w:t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研发费用加计扣除：10月预缴可选择，不是唯一享受窗口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国家税务总局公开答复明确，企业可在7月申报期、10月申报期和年度汇算清缴期三个时点申报享受研发费用加计扣除。10月预缴时，企业可结合盈亏情况、研发费用核算情况及金额，自主选择是否就前三季度研发费用享受；10月预缴未选择的，可在当年度企业所得税汇算清缴时统一享受。[S04]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4876"/>
        <w:gridCol w:w="3345"/>
      </w:tblGrid>
      <w:tr>
        <w:trPr>
          <w:tblHeader w:val="true"/>
        </w:trPr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核对项目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建议动作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建议留存的输出物</w:t>
            </w:r>
          </w:p>
        </w:tc>
      </w:tr>
      <w:tr>
        <w:tc>
          <w:tcPr>
            <w:tcW w:type="dxa" w:w="130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申报范围</w:t>
            </w:r>
          </w:p>
        </w:tc>
        <w:tc>
          <w:tcPr>
            <w:tcW w:type="dxa" w:w="487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确认企业纳税人身份、申报税种及所属期，检查是否存在属地通知或系统提示。</w:t>
            </w:r>
          </w:p>
        </w:tc>
        <w:tc>
          <w:tcPr>
            <w:tcW w:type="dxa" w:w="334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《10月申报排期表》</w:t>
            </w:r>
          </w:p>
        </w:tc>
      </w:tr>
      <w:tr>
        <w:tc>
          <w:tcPr>
            <w:tcW w:type="dxa" w:w="130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账税一致</w:t>
            </w:r>
          </w:p>
        </w:tc>
        <w:tc>
          <w:tcPr>
            <w:tcW w:type="dxa" w:w="487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核对总账、明细账、发票开具与勾选、银行流水、收入确认及税会差异。</w:t>
            </w:r>
          </w:p>
        </w:tc>
        <w:tc>
          <w:tcPr>
            <w:tcW w:type="dxa" w:w="334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《申报前复核清单》</w:t>
            </w:r>
          </w:p>
        </w:tc>
      </w:tr>
      <w:tr>
        <w:tc>
          <w:tcPr>
            <w:tcW w:type="dxa" w:w="130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研发归集</w:t>
            </w:r>
          </w:p>
        </w:tc>
        <w:tc>
          <w:tcPr>
            <w:tcW w:type="dxa" w:w="487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按项目核对研发活动真实性、人员工时、材料耗用、委托研发及费用分摊依据。</w:t>
            </w:r>
          </w:p>
        </w:tc>
        <w:tc>
          <w:tcPr>
            <w:tcW w:type="dxa" w:w="334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研发项目辅助账、费用归集底稿</w:t>
            </w:r>
          </w:p>
        </w:tc>
      </w:tr>
      <w:tr>
        <w:tc>
          <w:tcPr>
            <w:tcW w:type="dxa" w:w="130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申报留痕</w:t>
            </w:r>
          </w:p>
        </w:tc>
        <w:tc>
          <w:tcPr>
            <w:tcW w:type="dxa" w:w="487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若选择在10月预缴享受，按要求填报相关申报表和A107012，并留存备查资料。</w:t>
            </w:r>
          </w:p>
        </w:tc>
        <w:tc>
          <w:tcPr>
            <w:tcW w:type="dxa" w:w="334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申报表、A107012、留存备查资料</w:t>
            </w:r>
          </w:p>
        </w:tc>
      </w:tr>
      <w:tr>
        <w:tc>
          <w:tcPr>
            <w:tcW w:type="dxa" w:w="130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资金安排</w:t>
            </w:r>
          </w:p>
        </w:tc>
        <w:tc>
          <w:tcPr>
            <w:tcW w:type="dxa" w:w="487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确认应缴税款、账户余额、扣款授权和资金调度；申报完成后复核回执。</w:t>
            </w:r>
          </w:p>
        </w:tc>
        <w:tc>
          <w:tcPr>
            <w:tcW w:type="dxa" w:w="334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资金安排表、申报回执、缴款凭证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638"/>
            <w:shd w:fill="F8F3E8"/>
            <w:tcMar>
              <w:top w:w="150" w:type="dxa"/>
              <w:start w:w="190" w:type="dxa"/>
              <w:bottom w:w="150" w:type="dxa"/>
              <w:end w:w="190" w:type="dxa"/>
            </w:tcMar>
            <w:tcBorders>
              <w:top w:val="single" w:sz="8" w:color="B89455"/>
              <w:start w:val="single" w:sz="8" w:color="B89455"/>
              <w:bottom w:val="single" w:sz="4" w:color="E4D8D8"/>
              <w:end w:val="single" w:sz="4" w:color="E4D8D8"/>
            </w:tcBorders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9A6A1F"/>
                <w:sz w:val="22"/>
              </w:rPr>
              <w:t>企业影响与边界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color w:val="262626"/>
                <w:sz w:val="20"/>
              </w:rPr>
              <w:t>申报截止日不代表所有企业都会新增税负；研发费用加计扣除也不是自动适用。企业应基于真实研发活动、实际支出、适用条件及资料完整性作出选择。未在10月预缴选择享受，不等于当然丧失年度汇算清缴时的政策机会。</w:t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今天的执行顺序</w:t>
      </w:r>
    </w:p>
    <w:p>
      <w:pPr>
        <w:pStyle w:val="ListNumber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财务先确认税种、所属期、应纳税额和资金余额。</w:t>
      </w:r>
    </w:p>
    <w:p>
      <w:pPr>
        <w:pStyle w:val="ListNumber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税务负责人复核研发费用归集及是否在本期预缴选择享受。</w:t>
      </w:r>
    </w:p>
    <w:p>
      <w:pPr>
        <w:pStyle w:val="ListNumber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完成申报后核验回执、缴款状态与账务记录，形成可追溯底稿。</w:t>
      </w: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03  </w:t>
      </w:r>
      <w:r>
        <w:rPr>
          <w:rFonts w:ascii="Microsoft YaHei" w:hAnsi="Microsoft YaHei" w:eastAsia="Microsoft YaHei"/>
          <w:b/>
          <w:color w:val="6F1024"/>
          <w:sz w:val="36"/>
        </w:rPr>
        <w:t>11月1日两项执行节点</w:t>
      </w:r>
      <w:r>
        <w:rPr>
          <w:rFonts w:ascii="Microsoft YaHei" w:hAnsi="Microsoft YaHei" w:eastAsia="Microsoft YaHei"/>
          <w:color w:val="5B5B5B"/>
          <w:sz w:val="19"/>
        </w:rPr>
        <w:t xml:space="preserve">  适用对象不同，不能混为一谈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A. 成品油零售“交易即开票”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政策事实｜国家税务总局公告2026年第11号于2026年6月8日发布并自发布之日起施行，要求符合定义的成品油零售加油站于2026年11月1日前实现“交易即开票”。适用对象包括取得成品油零售经营资格及危化品经营许可、从事成品油零售业务的纳税人，公告列明加油站、水上加油趸船及只销售柴油的农村网点。[S05]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执行范围｜公告覆盖第三方支付平台、互联网平台、加油卡、现金、赊销、对公转账等售油价款收取场景；通过乐企平台依据实际交易数据即时开具全面数字化电子发票。系统改造方式需结合企业能力，选择乐企自用或乐企联用路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4252"/>
        <w:gridCol w:w="3855"/>
      </w:tblGrid>
      <w:tr>
        <w:trPr>
          <w:tblHeader w:val="true"/>
        </w:trPr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重点动作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验收标准</w:t>
            </w:r>
          </w:p>
        </w:tc>
      </w:tr>
      <w:tr>
        <w:tc>
          <w:tcPr>
            <w:tcW w:type="dxa" w:w="141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加油站经营方</w:t>
            </w:r>
          </w:p>
        </w:tc>
        <w:tc>
          <w:tcPr>
            <w:tcW w:type="dxa" w:w="42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确认接入方式；检查加油机管理、零售管理、收银及开票系统的数据匹配。</w:t>
            </w:r>
          </w:p>
        </w:tc>
        <w:tc>
          <w:tcPr>
            <w:tcW w:type="dxa" w:w="385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各类支付场景均可关联订单、收款信息及发票抬头；测试记录完整。</w:t>
            </w:r>
          </w:p>
        </w:tc>
      </w:tr>
      <w:tr>
        <w:tc>
          <w:tcPr>
            <w:tcW w:type="dxa" w:w="141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IT/平台方</w:t>
            </w:r>
          </w:p>
        </w:tc>
        <w:tc>
          <w:tcPr>
            <w:tcW w:type="dxa" w:w="42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按税务机关技术标准完成接口联调，检查失败重试、异常交易和数据对账。</w:t>
            </w:r>
          </w:p>
        </w:tc>
        <w:tc>
          <w:tcPr>
            <w:tcW w:type="dxa" w:w="385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联调日志、异常清单、修复记录和验收结论齐备。</w:t>
            </w:r>
          </w:p>
        </w:tc>
      </w:tr>
      <w:tr>
        <w:tc>
          <w:tcPr>
            <w:tcW w:type="dxa" w:w="141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财务部门</w:t>
            </w:r>
          </w:p>
        </w:tc>
        <w:tc>
          <w:tcPr>
            <w:tcW w:type="dxa" w:w="42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抽样核对交易、收款、发票、账簿与申报数据的一致性。</w:t>
            </w:r>
          </w:p>
        </w:tc>
        <w:tc>
          <w:tcPr>
            <w:tcW w:type="dxa" w:w="385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形成抽样样本、差异清单及闭环处理记录。</w:t>
            </w:r>
          </w:p>
        </w:tc>
      </w:tr>
      <w:tr>
        <w:tc>
          <w:tcPr>
            <w:tcW w:type="dxa" w:w="141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企业购油方</w:t>
            </w:r>
          </w:p>
        </w:tc>
        <w:tc>
          <w:tcPr>
            <w:tcW w:type="dxa" w:w="42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更新发票抬头及内部报销流程，向供应商确认开票和获取方式。</w:t>
            </w:r>
          </w:p>
        </w:tc>
        <w:tc>
          <w:tcPr>
            <w:tcW w:type="dxa" w:w="385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采购、收票、报销流程衔接顺畅；异常发票可追踪。</w:t>
            </w:r>
          </w:p>
        </w:tc>
      </w:tr>
    </w:tbl>
    <w:p>
      <w:pPr>
        <w:spacing w:after="20"/>
      </w:pP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/>
          <w:color w:val="5B5B5B"/>
          <w:sz w:val="18"/>
        </w:rPr>
        <w:t>边界提示：公告中的系统改造义务针对符合定义的成品油零售加油站。一般购油企业应关注发票取得与报销流程变化，但不因此承担加油站同等的系统改造义务。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B. 《全国税务行政处罚裁量基准（2026年版）》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政策事实｜国家税务总局公告2026年第20号于2026年9月28日成文，自2026年11月1日起施行。公告要求税务机关依法依规实施处罚，在裁量基准范围内作出决定；处罚决定书应载明基准适用情况，不能单独引用该基准作为处罚依据。[S06]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企业影响｜公告明确符合“轻微不罚”清单条件的，应依法决定不予处罚；存在法定从轻、减轻情形的，应依法从轻、减轻，并保障纳税人缴费人陈述申辩、申请回避、要求听证等程序权利。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638"/>
            <w:shd w:fill="F8F3E8"/>
            <w:tcMar>
              <w:top w:w="150" w:type="dxa"/>
              <w:start w:w="190" w:type="dxa"/>
              <w:bottom w:w="150" w:type="dxa"/>
              <w:end w:w="190" w:type="dxa"/>
            </w:tcMar>
            <w:tcBorders>
              <w:top w:val="single" w:sz="8" w:color="B89455"/>
              <w:start w:val="single" w:sz="8" w:color="B89455"/>
              <w:bottom w:val="single" w:sz="4" w:color="E4D8D8"/>
              <w:end w:val="single" w:sz="4" w:color="E4D8D8"/>
            </w:tcBorders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9A6A1F"/>
                <w:sz w:val="22"/>
              </w:rPr>
              <w:t>不要误读为“全国统一加重处罚”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color w:val="262626"/>
                <w:sz w:val="20"/>
              </w:rPr>
              <w:t>该公告旨在规范行政处罚裁量，并明确法定程序和轻微不罚等规则。企业应针对自身具体涉税事项核对适用条款、事实证据与程序权利，不应将其简单理解为所有企业处罚幅度一律上升。</w:t>
            </w:r>
          </w:p>
        </w:tc>
      </w:tr>
    </w:tbl>
    <w:p>
      <w:pPr>
        <w:spacing w:after="20"/>
      </w:pP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10月31日前：适用加油站完成系统联调与抽样验收。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10月31日前：企业税务、法务及人力资源等相关岗位梳理未结涉税事项与证据留存。</w:t>
      </w: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04  </w:t>
      </w:r>
      <w:r>
        <w:rPr>
          <w:rFonts w:ascii="Microsoft YaHei" w:hAnsi="Microsoft YaHei" w:eastAsia="Microsoft YaHei"/>
          <w:b/>
          <w:color w:val="6F1024"/>
          <w:sz w:val="36"/>
        </w:rPr>
        <w:t>离岸信托个人所得税</w:t>
      </w:r>
      <w:r>
        <w:rPr>
          <w:rFonts w:ascii="Microsoft YaHei" w:hAnsi="Microsoft YaHei" w:eastAsia="Microsoft YaHei"/>
          <w:color w:val="5B5B5B"/>
          <w:sz w:val="19"/>
        </w:rPr>
        <w:t xml:space="preserve">  个人资产事项需要独立核验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638"/>
            <w:shd w:fill="F8ECEE"/>
            <w:tcMar>
              <w:top w:w="150" w:type="dxa"/>
              <w:start w:w="190" w:type="dxa"/>
              <w:bottom w:w="150" w:type="dxa"/>
              <w:end w:w="190" w:type="dxa"/>
            </w:tcMar>
            <w:tcBorders>
              <w:top w:val="single" w:sz="8" w:color="B89455"/>
              <w:start w:val="single" w:sz="8" w:color="B89455"/>
              <w:bottom w:val="single" w:sz="4" w:color="E4D8D8"/>
              <w:end w:val="single" w:sz="4" w:color="E4D8D8"/>
            </w:tcBorders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9E1B32"/>
                <w:sz w:val="22"/>
              </w:rPr>
              <w:t>时间节点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color w:val="262626"/>
                <w:sz w:val="20"/>
              </w:rPr>
              <w:t>财政部、税务总局公告2026年第21号于2026年7月24日发布。国家税务总局于10月19日发布提示：公告规定的相关历史事项90日过渡期内，纳税人在10月22日前完成申报缴税，不加收滞纳金。该过渡期现已届满。[S07][S08]</w:t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政策事实与适用范围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个人将财产装入离岸信托以及通过离岸信托取得收益，属于个人所得税法规定的所得，应按公告规定申报缴纳个人所得税。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公告对居民个人装入财产、信托存续期间收益、财产转移、信托终止等情形分别规定计税和申报口径；部分情形涉及信托持有、控制或管理的境外实体。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居民个人离岸信托存续期间产生的收益，公告规定按相关所得项目申报；具体所得性质、应纳税所得额及申报义务须依信托安排、资产类型、收益性质和个人身份逐项判断。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公告第十七条对特定历史期间的未缴税款设置90日内申报缴纳且不加收滞纳金的过渡安排；逾期未缴纳的，按税收征管法律规定处理。[S07]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企业家及相关个人的行动清单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4252"/>
        <w:gridCol w:w="3912"/>
      </w:tblGrid>
      <w:tr>
        <w:trPr>
          <w:tblHeader w:val="true"/>
        </w:trPr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核验维度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应准备的资料或事实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处理原则</w:t>
            </w:r>
          </w:p>
        </w:tc>
      </w:tr>
      <w:tr>
        <w:tc>
          <w:tcPr>
            <w:tcW w:type="dxa" w:w="13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资产装入</w:t>
            </w:r>
          </w:p>
        </w:tc>
        <w:tc>
          <w:tcPr>
            <w:tcW w:type="dxa" w:w="42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信托契约、财产转移文件、装入时间、原值、市场价值及合理费用凭证。</w:t>
            </w:r>
          </w:p>
        </w:tc>
        <w:tc>
          <w:tcPr>
            <w:tcW w:type="dxa" w:w="391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不得仅以信托资产总额直接推定应税所得。</w:t>
            </w:r>
          </w:p>
        </w:tc>
      </w:tr>
      <w:tr>
        <w:tc>
          <w:tcPr>
            <w:tcW w:type="dxa" w:w="13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持有与控制</w:t>
            </w:r>
          </w:p>
        </w:tc>
        <w:tc>
          <w:tcPr>
            <w:tcW w:type="dxa" w:w="42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受托人、信托受益人、境外实体股权与表决权、资金和经营决策控制事实。</w:t>
            </w:r>
          </w:p>
        </w:tc>
        <w:tc>
          <w:tcPr>
            <w:tcW w:type="dxa" w:w="391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按真实权属和实际控制关系判断。</w:t>
            </w:r>
          </w:p>
        </w:tc>
      </w:tr>
      <w:tr>
        <w:tc>
          <w:tcPr>
            <w:tcW w:type="dxa" w:w="13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收益与分配</w:t>
            </w:r>
          </w:p>
        </w:tc>
        <w:tc>
          <w:tcPr>
            <w:tcW w:type="dxa" w:w="42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股息红利、利息、财产转让、信托分配、赠与或关联方受益记录。</w:t>
            </w:r>
          </w:p>
        </w:tc>
        <w:tc>
          <w:tcPr>
            <w:tcW w:type="dxa" w:w="391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区分所得类别和发生年度，避免重复或遗漏申报。</w:t>
            </w:r>
          </w:p>
        </w:tc>
      </w:tr>
      <w:tr>
        <w:tc>
          <w:tcPr>
            <w:tcW w:type="dxa" w:w="13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历史申报</w:t>
            </w:r>
          </w:p>
        </w:tc>
        <w:tc>
          <w:tcPr>
            <w:tcW w:type="dxa" w:w="42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2023—2025年装入财产、2026年前存续收益及既往纳税申报资料。</w:t>
            </w:r>
          </w:p>
        </w:tc>
        <w:tc>
          <w:tcPr>
            <w:tcW w:type="dxa" w:w="391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按公告过渡规则与现行法律核对；必要时与主管税务机关沟通。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638"/>
            <w:shd w:fill="F8F3E8"/>
            <w:tcMar>
              <w:top w:w="150" w:type="dxa"/>
              <w:start w:w="190" w:type="dxa"/>
              <w:bottom w:w="150" w:type="dxa"/>
              <w:end w:w="190" w:type="dxa"/>
            </w:tcMar>
            <w:tcBorders>
              <w:top w:val="single" w:sz="8" w:color="B89455"/>
              <w:start w:val="single" w:sz="8" w:color="B89455"/>
              <w:bottom w:val="single" w:sz="4" w:color="E4D8D8"/>
              <w:end w:val="single" w:sz="4" w:color="E4D8D8"/>
            </w:tcBorders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9A6A1F"/>
                <w:sz w:val="22"/>
              </w:rPr>
              <w:t>风险边界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color w:val="262626"/>
                <w:sz w:val="20"/>
              </w:rPr>
              <w:t>本项是个人所得税政策，不应未经分析直接并入公司纳税申报。是否应税、应税所得类别及金额取决于个人身份、信托结构、资产装入时间、控制关系和收益事实。收到提醒或开展自查不等于已经被认定欠税或违法。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05  </w:t>
      </w:r>
      <w:r>
        <w:rPr>
          <w:rFonts w:ascii="Microsoft YaHei" w:hAnsi="Microsoft YaHei" w:eastAsia="Microsoft YaHei"/>
          <w:b/>
          <w:color w:val="6F1024"/>
          <w:sz w:val="36"/>
        </w:rPr>
        <w:t>全国发票数据与经营信号</w:t>
      </w:r>
      <w:r>
        <w:rPr>
          <w:rFonts w:ascii="Microsoft YaHei" w:hAnsi="Microsoft YaHei" w:eastAsia="Microsoft YaHei"/>
          <w:color w:val="5B5B5B"/>
          <w:sz w:val="19"/>
        </w:rPr>
        <w:t xml:space="preserve">  统计反映趋势，不等于企业订单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国家税务总局于2026年10月23日发布前三季度增值税发票数据。下列数字均为发票统计口径的同比变化；三季度数据与前三季度累计数据分开列示，不应混用。[S01]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871"/>
        <w:gridCol w:w="3061"/>
        <w:gridCol w:w="2891"/>
      </w:tblGrid>
      <w:tr>
        <w:trPr>
          <w:tblHeader w:val="true"/>
        </w:trPr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官方数据</w:t>
            </w:r>
          </w:p>
        </w:tc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企业经营解读</w:t>
            </w:r>
          </w:p>
        </w:tc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边界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工业企业销售收入</w:t>
            </w:r>
          </w:p>
        </w:tc>
        <w:tc>
          <w:tcPr>
            <w:tcW w:type="dxa" w:w="187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前三季度 +7.4%；三季度 +7.8%</w:t>
            </w:r>
          </w:p>
        </w:tc>
        <w:tc>
          <w:tcPr>
            <w:tcW w:type="dxa" w:w="30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工业需求保持增长，宜继续验证在手订单和客户回款。</w:t>
            </w:r>
          </w:p>
        </w:tc>
        <w:tc>
          <w:tcPr>
            <w:tcW w:type="dxa" w:w="289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不是全部企业收入或利润增速。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先进制造业</w:t>
            </w:r>
          </w:p>
        </w:tc>
        <w:tc>
          <w:tcPr>
            <w:tcW w:type="dxa" w:w="187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三季度销售收入同比 +12.3%</w:t>
            </w:r>
          </w:p>
        </w:tc>
        <w:tc>
          <w:tcPr>
            <w:tcW w:type="dxa" w:w="30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关注高技术制造、装备制造及其上下游供应链。</w:t>
            </w:r>
          </w:p>
        </w:tc>
        <w:tc>
          <w:tcPr>
            <w:tcW w:type="dxa" w:w="289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行业增速不能替代企业自身订单。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数字经济核心产业</w:t>
            </w:r>
          </w:p>
        </w:tc>
        <w:tc>
          <w:tcPr>
            <w:tcW w:type="dxa" w:w="187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前三季度销售收入 +9.1%</w:t>
            </w:r>
          </w:p>
        </w:tc>
        <w:tc>
          <w:tcPr>
            <w:tcW w:type="dxa" w:w="30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可关注工业软件、数字化服务等真实采购需求。</w:t>
            </w:r>
          </w:p>
        </w:tc>
        <w:tc>
          <w:tcPr>
            <w:tcW w:type="dxa" w:w="289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不是行业补贴或普惠资金。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知识产权（专利）密集型产业</w:t>
            </w:r>
          </w:p>
        </w:tc>
        <w:tc>
          <w:tcPr>
            <w:tcW w:type="dxa" w:w="187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前三季度销售收入 +13.1%</w:t>
            </w:r>
          </w:p>
        </w:tc>
        <w:tc>
          <w:tcPr>
            <w:tcW w:type="dxa" w:w="30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研发成果转化、专利应用及技术服务可作为商机线索。</w:t>
            </w:r>
          </w:p>
        </w:tc>
        <w:tc>
          <w:tcPr>
            <w:tcW w:type="dxa" w:w="289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企业须验证自身产品与客户预算。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AI相关集成电路制造</w:t>
            </w:r>
          </w:p>
        </w:tc>
        <w:tc>
          <w:tcPr>
            <w:tcW w:type="dxa" w:w="187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三季度销售收入同比 +77.9%</w:t>
            </w:r>
          </w:p>
        </w:tc>
        <w:tc>
          <w:tcPr>
            <w:tcW w:type="dxa" w:w="30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半导体和AI硬件链条值得跟踪客户扩产与交付需求。</w:t>
            </w:r>
          </w:p>
        </w:tc>
        <w:tc>
          <w:tcPr>
            <w:tcW w:type="dxa" w:w="289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细分行业数据波动可能较大。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半导体器件专用设备制造</w:t>
            </w:r>
          </w:p>
        </w:tc>
        <w:tc>
          <w:tcPr>
            <w:tcW w:type="dxa" w:w="187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三季度销售收入同比 +35.9%</w:t>
            </w:r>
          </w:p>
        </w:tc>
        <w:tc>
          <w:tcPr>
            <w:tcW w:type="dxa" w:w="30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关注设备供应、安装调试、售后和验收周期。</w:t>
            </w:r>
          </w:p>
        </w:tc>
        <w:tc>
          <w:tcPr>
            <w:tcW w:type="dxa" w:w="289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不宜仅按增速扩大库存。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企业采购机械设备金额</w:t>
            </w:r>
          </w:p>
        </w:tc>
        <w:tc>
          <w:tcPr>
            <w:tcW w:type="dxa" w:w="187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前三季度 +12.6%；三季度 +15.9%</w:t>
            </w:r>
          </w:p>
        </w:tc>
        <w:tc>
          <w:tcPr>
            <w:tcW w:type="dxa" w:w="30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设备更新与数据中心等投资需求可能传导至设备、工程和服务订单。</w:t>
            </w:r>
          </w:p>
        </w:tc>
        <w:tc>
          <w:tcPr>
            <w:tcW w:type="dxa" w:w="289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该项是发票统计指标，不等于固定资产投资统计。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交通运输物流业销售收入</w:t>
            </w:r>
          </w:p>
        </w:tc>
        <w:tc>
          <w:tcPr>
            <w:tcW w:type="dxa" w:w="187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前三季度 +7.3%；三季度 +9.9%</w:t>
            </w:r>
          </w:p>
        </w:tc>
        <w:tc>
          <w:tcPr>
            <w:tcW w:type="dxa" w:w="30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物流、仓配和供应链服务企业可核查新线路和客户扩量。</w:t>
            </w:r>
          </w:p>
        </w:tc>
        <w:tc>
          <w:tcPr>
            <w:tcW w:type="dxa" w:w="289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必须以合同、交付和回款验证。</w:t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企业怎么把宏观信号变成经营动作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销售：核实客户预算、采购计划、合同主体、订单确定性与取消条件。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采购：先做库存周转、交付周期、最低采购量和资金占用压力测试，再决定备货。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财务：将订单、交付验收、收入确认、应收账款和回款节点串成现金流测算。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管理层：每项机会设置验证指标，如订单转化率、毛利率、回款周期和库存周转天数。</w:t>
      </w: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06  </w:t>
      </w:r>
      <w:r>
        <w:rPr>
          <w:rFonts w:ascii="Microsoft YaHei" w:hAnsi="Microsoft YaHei" w:eastAsia="Microsoft YaHei"/>
          <w:b/>
          <w:color w:val="6F1024"/>
          <w:sz w:val="36"/>
        </w:rPr>
        <w:t>广东人工智能产业数据</w:t>
      </w:r>
      <w:r>
        <w:rPr>
          <w:rFonts w:ascii="Microsoft YaHei" w:hAnsi="Microsoft YaHei" w:eastAsia="Microsoft YaHei"/>
          <w:color w:val="5B5B5B"/>
          <w:sz w:val="19"/>
        </w:rPr>
        <w:t xml:space="preserve">  地方产业信号 · 不外推全国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国家税务总局广东省税务局于2026年10月23日披露，前三季度广东人工智能相关行业购销发票数据显示：[S02]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417"/>
        <w:gridCol w:w="4706"/>
      </w:tblGrid>
      <w:tr>
        <w:trPr>
          <w:tblHeader w:val="true"/>
        </w:trPr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广东省指标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同比变化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可能的经营切入点</w:t>
            </w:r>
          </w:p>
        </w:tc>
      </w:tr>
      <w:tr>
        <w:tc>
          <w:tcPr>
            <w:tcW w:type="dxa" w:w="340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算力服务相关企业销售收入</w:t>
            </w:r>
          </w:p>
        </w:tc>
        <w:tc>
          <w:tcPr>
            <w:tcW w:type="dxa" w:w="141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+20.9%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算力服务、服务器与数据中心配套、运维及能耗管理。</w:t>
            </w:r>
          </w:p>
        </w:tc>
      </w:tr>
      <w:tr>
        <w:tc>
          <w:tcPr>
            <w:tcW w:type="dxa" w:w="340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算法模型相关企业销售收入</w:t>
            </w:r>
          </w:p>
        </w:tc>
        <w:tc>
          <w:tcPr>
            <w:tcW w:type="dxa" w:w="141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+41.6%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模型开发、行业应用、软件部署和技术服务。</w:t>
            </w:r>
          </w:p>
        </w:tc>
      </w:tr>
      <w:tr>
        <w:tc>
          <w:tcPr>
            <w:tcW w:type="dxa" w:w="340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数据服务相关企业销售收入</w:t>
            </w:r>
          </w:p>
        </w:tc>
        <w:tc>
          <w:tcPr>
            <w:tcW w:type="dxa" w:w="141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+13.7%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数据处理、存储支持、数据治理与合规服务。</w:t>
            </w:r>
          </w:p>
        </w:tc>
      </w:tr>
      <w:tr>
        <w:tc>
          <w:tcPr>
            <w:tcW w:type="dxa" w:w="340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全行业从AI相关行业采购商品和服务金额</w:t>
            </w:r>
          </w:p>
        </w:tc>
        <w:tc>
          <w:tcPr>
            <w:tcW w:type="dxa" w:w="141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+26.7%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AI采购需求向制造业等传统行业扩散，可核查具体客户场景。</w:t>
            </w:r>
          </w:p>
        </w:tc>
      </w:tr>
      <w:tr>
        <w:tc>
          <w:tcPr>
            <w:tcW w:type="dxa" w:w="340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制造业从AI相关行业采购商品和服务金额</w:t>
            </w:r>
          </w:p>
        </w:tc>
        <w:tc>
          <w:tcPr>
            <w:tcW w:type="dxa" w:w="141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+25.8%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工业质检、设备运维、排产、能耗优化和智能化改造。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638"/>
            <w:shd w:fill="F8F3E8"/>
            <w:tcMar>
              <w:top w:w="150" w:type="dxa"/>
              <w:start w:w="190" w:type="dxa"/>
              <w:bottom w:w="150" w:type="dxa"/>
              <w:end w:w="190" w:type="dxa"/>
            </w:tcMar>
            <w:tcBorders>
              <w:top w:val="single" w:sz="8" w:color="B89455"/>
              <w:start w:val="single" w:sz="8" w:color="B89455"/>
              <w:bottom w:val="single" w:sz="4" w:color="E4D8D8"/>
              <w:end w:val="single" w:sz="4" w:color="E4D8D8"/>
            </w:tcBorders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9A6A1F"/>
                <w:sz w:val="22"/>
              </w:rPr>
              <w:t>机会判断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color w:val="262626"/>
                <w:sz w:val="20"/>
              </w:rPr>
              <w:t>广东相关发票数据表明，算力、算法、数据服务和实体行业采购均有增长信号。对广东及服务广东市场的企业，建议优先核实客户采购预算、项目验收标准、数据与知识产权权属、交付责任和账期。</w:t>
            </w:r>
          </w:p>
        </w:tc>
      </w:tr>
    </w:tbl>
    <w:p>
      <w:pPr>
        <w:spacing w:after="20"/>
      </w:pP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/>
          <w:color w:val="5B5B5B"/>
          <w:sz w:val="18"/>
        </w:rPr>
        <w:t>适用边界：以上是广东省2026年1—9月发票统计，不代表全国统一增长情况，也不代表广东出台了新的普惠财政补贴。具体项目收入取决于真实采购、合同履行与回款。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30天内建议形成一张《AI商机验证表》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824"/>
      </w:tblGrid>
      <w:tr>
        <w:trPr>
          <w:tblHeader w:val="true"/>
        </w:trPr>
        <w:tc>
          <w:tcPr>
            <w:tcW w:type="dxa" w:w="481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481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必须回答的问题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客户与预算</w:t>
            </w:r>
          </w:p>
        </w:tc>
        <w:tc>
          <w:tcPr>
            <w:tcW w:type="dxa" w:w="782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谁是实际采购方？预算是否已落实？是否有明确的采购决策人？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业务场景</w:t>
            </w:r>
          </w:p>
        </w:tc>
        <w:tc>
          <w:tcPr>
            <w:tcW w:type="dxa" w:w="782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解决什么经营问题？是否有可量化的效率、质量、成本或收入指标？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合同与交付</w:t>
            </w:r>
          </w:p>
        </w:tc>
        <w:tc>
          <w:tcPr>
            <w:tcW w:type="dxa" w:w="782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交付物、验收方式、知识产权、数据安全和违约责任是否明确？</w:t>
            </w:r>
          </w:p>
        </w:tc>
      </w:tr>
      <w:tr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现金流</w:t>
            </w:r>
          </w:p>
        </w:tc>
        <w:tc>
          <w:tcPr>
            <w:tcW w:type="dxa" w:w="782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8"/>
              </w:rPr>
              <w:t>预付款比例、验收周期、质保金、回款期限及项目融资成本如何？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07  </w:t>
      </w:r>
      <w:r>
        <w:rPr>
          <w:rFonts w:ascii="Microsoft YaHei" w:hAnsi="Microsoft YaHei" w:eastAsia="Microsoft YaHei"/>
          <w:b/>
          <w:color w:val="6F1024"/>
          <w:sz w:val="36"/>
        </w:rPr>
        <w:t>财政与融资环境</w:t>
      </w:r>
      <w:r>
        <w:rPr>
          <w:rFonts w:ascii="Microsoft YaHei" w:hAnsi="Microsoft YaHei" w:eastAsia="Microsoft YaHei"/>
          <w:color w:val="5B5B5B"/>
          <w:sz w:val="19"/>
        </w:rPr>
        <w:t xml:space="preserve">  识别项目机会，避免把规模数据误读为补贴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前三季度财政收支：全国口径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701"/>
        <w:gridCol w:w="1247"/>
        <w:gridCol w:w="4309"/>
      </w:tblGrid>
      <w:tr>
        <w:trPr>
          <w:tblHeader w:val="true"/>
        </w:trPr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2026年1—9月</w:t>
            </w:r>
          </w:p>
        </w:tc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同比变化</w:t>
            </w:r>
          </w:p>
        </w:tc>
        <w:tc>
          <w:tcPr>
            <w:tcW w:type="dxa" w:w="240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企业阅读方式</w:t>
            </w:r>
          </w:p>
        </w:tc>
      </w:tr>
      <w:tr>
        <w:tc>
          <w:tcPr>
            <w:tcW w:type="dxa" w:w="226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全国一般公共预算收入</w:t>
            </w:r>
          </w:p>
        </w:tc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172,292亿元</w:t>
            </w:r>
          </w:p>
        </w:tc>
        <w:tc>
          <w:tcPr>
            <w:tcW w:type="dxa" w:w="124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+5.1%</w:t>
            </w:r>
          </w:p>
        </w:tc>
        <w:tc>
          <w:tcPr>
            <w:tcW w:type="dxa" w:w="430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反映财政收入总体情况，不直接决定某地区项目付款速度。</w:t>
            </w:r>
          </w:p>
        </w:tc>
      </w:tr>
      <w:tr>
        <w:tc>
          <w:tcPr>
            <w:tcW w:type="dxa" w:w="226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全国税收收入</w:t>
            </w:r>
          </w:p>
        </w:tc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140,706亿元</w:t>
            </w:r>
          </w:p>
        </w:tc>
        <w:tc>
          <w:tcPr>
            <w:tcW w:type="dxa" w:w="124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+6.1%</w:t>
            </w:r>
          </w:p>
        </w:tc>
        <w:tc>
          <w:tcPr>
            <w:tcW w:type="dxa" w:w="430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属于全国税收收入统计，不等同于企业税负同比上升6.1%。</w:t>
            </w:r>
          </w:p>
        </w:tc>
      </w:tr>
      <w:tr>
        <w:tc>
          <w:tcPr>
            <w:tcW w:type="dxa" w:w="226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全国一般公共预算支出</w:t>
            </w:r>
          </w:p>
        </w:tc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210,199亿元</w:t>
            </w:r>
          </w:p>
        </w:tc>
        <w:tc>
          <w:tcPr>
            <w:tcW w:type="dxa" w:w="124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+1.0%</w:t>
            </w:r>
          </w:p>
        </w:tc>
        <w:tc>
          <w:tcPr>
            <w:tcW w:type="dxa" w:w="430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关注具体预算、项目和支付安排，不能仅凭全国总量判断回款。</w:t>
            </w:r>
          </w:p>
        </w:tc>
      </w:tr>
      <w:tr>
        <w:tc>
          <w:tcPr>
            <w:tcW w:type="dxa" w:w="226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新增专项债发行</w:t>
            </w:r>
          </w:p>
        </w:tc>
        <w:tc>
          <w:tcPr>
            <w:tcW w:type="dxa" w:w="170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35,608亿元</w:t>
            </w:r>
          </w:p>
        </w:tc>
        <w:tc>
          <w:tcPr>
            <w:tcW w:type="dxa" w:w="124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发行进度81%</w:t>
            </w:r>
          </w:p>
        </w:tc>
        <w:tc>
          <w:tcPr>
            <w:tcW w:type="dxa" w:w="430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财政部披露的发行与投向信息可用于跟踪项目链条；不等于企业可直接领取的补贴。</w:t>
            </w:r>
          </w:p>
        </w:tc>
      </w:tr>
    </w:tbl>
    <w:p>
      <w:pPr>
        <w:spacing w:after="20"/>
      </w:pP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财政部披露，前三季度新增专项债资金重点投向市政和产业园区、交通、保障性安居工程及城市更新等基础设施和民生领域。[S09][S10]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2027年地方债提前谋划：项目储备比猜额度更重要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财政部10月23日发布会表示，将抓紧做好提前下达2027年部分新增地方政府债务限额工作，并指导各地早谋划、早准备。发布会同时说明，既有机制下每年第四季度可在当年新增地方政府债务限额的60%以内提前下达下一年度部分限额；这不等于已明确本年度具体提前下达额度或各地项目清单。[S10]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基建、工程、设备和市政供应商：更新在手政府及国企项目清单、合同节点、验收资料、应收账款账龄。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财务与业务：区分“已立项”“已招标”“已签合同”“已验收”“已形成付款申请”五种状态，按状态测算回款概率。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不以地方债发行规模替代客户信用审查，不因政策方向而放松垫资、账期和履约风险控制。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融资报价参考：10月20日LPR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中国人民银行授权全国银行间同业拆借中心公布：2026年10月20日，1年期LPR为3.0%，5年期以上LPR为3.5%，在下一次发布前有效。[S14] 企业贷款的实际利率、重定价日、担保条件和授信额度仍取决于具体银行合同，不应直接将LPR等同于企业融资成本。</w:t>
      </w: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08  </w:t>
      </w:r>
      <w:r>
        <w:rPr>
          <w:rFonts w:ascii="Microsoft YaHei" w:hAnsi="Microsoft YaHei" w:eastAsia="Microsoft YaHei"/>
          <w:b/>
          <w:color w:val="6F1024"/>
          <w:sz w:val="36"/>
        </w:rPr>
        <w:t>可把握的政策机会与后续执行</w:t>
      </w:r>
      <w:r>
        <w:rPr>
          <w:rFonts w:ascii="Microsoft YaHei" w:hAnsi="Microsoft YaHei" w:eastAsia="Microsoft YaHei"/>
          <w:color w:val="5B5B5B"/>
          <w:sz w:val="19"/>
        </w:rPr>
        <w:t xml:space="preserve">  先核资格，再做测算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A. 先进制造业企业增值税加计抵减：下一申报窗口为11月1—10日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政策事实｜财政部、税务总局公告2023年第43号规定，符合条件的先进制造业企业在2023年1月1日至2027年12月31日期间，可按当期可抵扣进项税额加计5%抵减应纳增值税税额。适用主体为纳入名单的高新技术企业中的制造业一般纳税人，具体名单由地方有关部门按规定确定。[S11]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2026年度名单申报安排｜工信厅联财函〔2026〕418号明确，2026年度新申请企业可自2026年10月起每月1日至10日提交申请，截止时间为2027年4月10日；拟继续申请的部分既有名单企业也有相应申报安排。下一窗口为2026年11月1日至10日，属于按月开放的申请窗口，并非仅有一次机会。[S10]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710"/>
      </w:tblGrid>
      <w:tr>
        <w:trPr>
          <w:tblHeader w:val="true"/>
        </w:trPr>
        <w:tc>
          <w:tcPr>
            <w:tcW w:type="dxa" w:w="481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核验重点</w:t>
            </w:r>
          </w:p>
        </w:tc>
        <w:tc>
          <w:tcPr>
            <w:tcW w:type="dxa" w:w="4819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建议动作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主体资格</w:t>
            </w:r>
          </w:p>
        </w:tc>
        <w:tc>
          <w:tcPr>
            <w:tcW w:type="dxa" w:w="771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确认高新技术企业资格在2026年内有效，且属于制造业一般纳税人。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制造业占比</w:t>
            </w:r>
          </w:p>
        </w:tc>
        <w:tc>
          <w:tcPr>
            <w:tcW w:type="dxa" w:w="771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按通知口径核算制造业业务销售额占全部销售额的比重；相关金额不含增值税。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研发及高企条件</w:t>
            </w:r>
          </w:p>
        </w:tc>
        <w:tc>
          <w:tcPr>
            <w:tcW w:type="dxa" w:w="771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复核研发费用、研发人员、高新技术产品（服务）收入等相关条件。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合规记录</w:t>
            </w:r>
          </w:p>
        </w:tc>
        <w:tc>
          <w:tcPr>
            <w:tcW w:type="dxa" w:w="771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核查通知规定的申请前36个月相关违法违规情形限制。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申报留痕</w:t>
            </w:r>
          </w:p>
        </w:tc>
        <w:tc>
          <w:tcPr>
            <w:tcW w:type="dxa" w:w="771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按系统要求提交材料，留存真实性承诺、测算底稿及审核反馈。</w:t>
            </w:r>
          </w:p>
        </w:tc>
      </w:tr>
    </w:tbl>
    <w:p>
      <w:pPr>
        <w:spacing w:after="20"/>
      </w:pP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/>
          <w:color w:val="5B5B5B"/>
          <w:sz w:val="18"/>
        </w:rPr>
        <w:t>重要边界：政策资格以正式名单和主管部门审核为准；不能仅凭企业自称“先进制造”或拥有高新技术企业证书就直接认定一定可享受。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B. 能源保供中长期合同管理办法：12月1日起施行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国家发展改革委第50号令《能源保供中长期合同管理办法（试行）》于2026年10月23日公开，2026年10月19日签署，自2026年12月1日起施行。办法涉及电煤、电力和天然气保供中长期合同的签订、履行、变更及监管。[S13]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可能受影响的主体包括相关能源供应方、发电企业、售电公司、电力用户、天然气供应和需求企业，以及承担运输、输送服务的相关企业；具体签约义务、数量比例、价格机制和履约要求应按合同类型及办法条款判断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30天内：由采购、法务、能源管理和财务部门盘点电煤、电力、天然气中长期合同。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复核数量、价格机制、履约计划、运输或管输安排、变更程序、免责条款及违约责任。</w:t>
      </w:r>
    </w:p>
    <w:p>
      <w:pPr>
        <w:pStyle w:val="ListBullet"/>
        <w:spacing w:after="60" w:line="283" w:lineRule="auto"/>
        <w:ind w:left="312" w:hanging="125"/>
        <w:keepLines/>
      </w:pPr>
      <w:r>
        <w:rPr>
          <w:rFonts w:ascii="Microsoft YaHei" w:hAnsi="Microsoft YaHei" w:eastAsia="Microsoft YaHei"/>
          <w:color w:val="262626"/>
          <w:sz w:val="20"/>
        </w:rPr>
        <w:t>对重大能源采购合同建立供应保障与现金流压力测试，保留协商、变更和履约记录。</w:t>
      </w: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09  </w:t>
      </w:r>
      <w:r>
        <w:rPr>
          <w:rFonts w:ascii="Microsoft YaHei" w:hAnsi="Microsoft YaHei" w:eastAsia="Microsoft YaHei"/>
          <w:b/>
          <w:color w:val="6F1024"/>
          <w:sz w:val="36"/>
        </w:rPr>
        <w:t>企业行动清单</w:t>
      </w:r>
      <w:r>
        <w:rPr>
          <w:rFonts w:ascii="Microsoft YaHei" w:hAnsi="Microsoft YaHei" w:eastAsia="Microsoft YaHei"/>
          <w:color w:val="5B5B5B"/>
          <w:sz w:val="19"/>
        </w:rPr>
        <w:t xml:space="preserve">  把政策变成责任、期限和验收物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今天｜10月25日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4706"/>
        <w:gridCol w:w="3005"/>
      </w:tblGrid>
      <w:tr>
        <w:trPr>
          <w:tblHeader w:val="true"/>
        </w:trPr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责任岗位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执行动作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验收输出物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CFO / 财务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排定10月26日申报流程；核对税种、税会差异、发票、缴款余额及扣款安排。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申报排期表、复核签字页、资金安排表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税务负责人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评估是否在10月预缴选择享受前三季度研发费用加计扣除；复核辅助账和资料。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研发费用归集底稿、申报选择记录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加油站运营 / IT / 财务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确认乐企自用或联用方案，逐一检查支付、订单、收款、发票和账簿链路。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系统联调计划、问题清单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实际控制人 / 个人税务顾问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若涉及离岸信托，启动个人资产装入、收益和历史申报核验。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个人离岸信托资料清单</w:t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7天内｜截至11月1日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4706"/>
        <w:gridCol w:w="3005"/>
      </w:tblGrid>
      <w:tr>
        <w:trPr>
          <w:tblHeader w:val="true"/>
        </w:trPr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责任岗位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执行动作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验收输出物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税务 / 财务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完成10月申报，核验回执和缴款状态；发现差异及时处理。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申报回执、缴款凭证、差异闭环表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加油站运营 / IT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在11月1日前完成适用场景“交易即开票”联调和验收。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抽样日志、验收报告、整改记录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法务 / 税务 / HR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核对11月1日施行的税务行政处罚裁量基准与相关内部流程。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涉税事项台账、流程调整清单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先进制造业企业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为11月1—10日2026年度名单申请窗口准备资格和申报材料。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资格核对表、申请材料包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销售 / 采购 / 财务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对设备、AI及供应链机会进行订单、库存、账期和回款验证。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第四季度订单与现金流压力测试</w:t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30天内｜截至11月24日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4706"/>
        <w:gridCol w:w="3005"/>
      </w:tblGrid>
      <w:tr>
        <w:trPr>
          <w:tblHeader w:val="true"/>
        </w:trPr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责任岗位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执行动作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验收输出物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法务 / 采购 / 能源管理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盘点12月1日生效办法涉及的能源中长期合同及履约安排。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能源合同合规与履约清单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业务 / 财务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跟踪项目招采、验收、付款申请与应收账款账龄，优先推进可兑现回款。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项目回款台账、客户沟通记录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税务 / 财务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对研发费用加计扣除、高新技术企业资格、先进制造业加计抵减进行年度合规自查。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优惠资格自查报告</w:t>
            </w:r>
          </w:p>
        </w:tc>
      </w:tr>
      <w:tr>
        <w:tc>
          <w:tcPr>
            <w:tcW w:type="dxa" w:w="181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管理层</w:t>
            </w:r>
          </w:p>
        </w:tc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对重大订单和政策机会设置毛利、回款、库存和履约风险门槛。</w:t>
            </w:r>
          </w:p>
        </w:tc>
        <w:tc>
          <w:tcPr>
            <w:tcW w:type="dxa" w:w="300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经营机会评审表、现金流预测</w:t>
            </w:r>
          </w:p>
        </w:tc>
      </w:tr>
    </w:tbl>
    <w:p>
      <w:pPr>
        <w:spacing w:after="20"/>
      </w:pPr>
    </w:p>
    <w:p>
      <w:pPr>
        <w:spacing w:after="20"/>
      </w:pP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10  </w:t>
      </w:r>
      <w:r>
        <w:rPr>
          <w:rFonts w:ascii="Microsoft YaHei" w:hAnsi="Microsoft YaHei" w:eastAsia="Microsoft YaHei"/>
          <w:b/>
          <w:color w:val="6F1024"/>
          <w:sz w:val="36"/>
        </w:rPr>
        <w:t>管理层风险雷达</w:t>
      </w:r>
      <w:r>
        <w:rPr>
          <w:rFonts w:ascii="Microsoft YaHei" w:hAnsi="Microsoft YaHei" w:eastAsia="Microsoft YaHei"/>
          <w:color w:val="5B5B5B"/>
          <w:sz w:val="19"/>
        </w:rPr>
        <w:t xml:space="preserve">  内部管理优先级，不是官方风险分级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4422"/>
        <w:gridCol w:w="3742"/>
      </w:tblGrid>
      <w:tr>
        <w:trPr>
          <w:tblHeader w:val="true"/>
        </w:trPr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优先级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触发情形</w:t>
            </w:r>
          </w:p>
        </w:tc>
        <w:tc>
          <w:tcPr>
            <w:tcW w:type="dxa" w:w="3213"/>
            <w:vAlign w:val="center"/>
            <w:shd w:fill="6F1024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建议处理</w:t>
            </w:r>
          </w:p>
        </w:tc>
      </w:tr>
      <w:tr>
        <w:tc>
          <w:tcPr>
            <w:tcW w:type="dxa" w:w="13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红｜立即处理</w:t>
            </w:r>
          </w:p>
        </w:tc>
        <w:tc>
          <w:tcPr>
            <w:tcW w:type="dxa" w:w="442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适用税种申报尚未完成、缴款余额不足、申报数据存在重大差异；适用加油站未完成系统联调；离岸信托历史事项尚未评估。</w:t>
            </w:r>
          </w:p>
        </w:tc>
        <w:tc>
          <w:tcPr>
            <w:tcW w:type="dxa" w:w="374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明确责任人和完成时间；按事实核验并依法办理，必要时与主管税务机关沟通。</w:t>
            </w:r>
          </w:p>
        </w:tc>
      </w:tr>
      <w:tr>
        <w:tc>
          <w:tcPr>
            <w:tcW w:type="dxa" w:w="13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橙｜7天内</w:t>
            </w:r>
          </w:p>
        </w:tc>
        <w:tc>
          <w:tcPr>
            <w:tcW w:type="dxa" w:w="442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11月1日前适用加油站系统验收未通过；未核对新裁量基准相关事项；先进制造业企业未准备下一申报窗口资料。</w:t>
            </w:r>
          </w:p>
        </w:tc>
        <w:tc>
          <w:tcPr>
            <w:tcW w:type="dxa" w:w="374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AF8F6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逐项建立整改清单、测试记录和证据链，避免只口头确认。</w:t>
            </w:r>
          </w:p>
        </w:tc>
      </w:tr>
      <w:tr>
        <w:tc>
          <w:tcPr>
            <w:tcW w:type="dxa" w:w="136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黄｜持续跟踪</w:t>
            </w:r>
          </w:p>
        </w:tc>
        <w:tc>
          <w:tcPr>
            <w:tcW w:type="dxa" w:w="442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订单增长尚未转化为合同；应收账款账龄拉长；12月1日能源合同管理准备不足；融资成本与回款周期错配。</w:t>
            </w:r>
          </w:p>
        </w:tc>
        <w:tc>
          <w:tcPr>
            <w:tcW w:type="dxa" w:w="374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FFF"/>
            <w:tcBorders>
              <w:top w:val="single" w:sz="6" w:color="E4D8D8"/>
              <w:start w:val="single" w:sz="6" w:color="E4D8D8"/>
              <w:bottom w:val="single" w:sz="6" w:color="E4D8D8"/>
              <w:end w:val="single" w:sz="6" w:color="E4D8D8"/>
            </w:tcBorders>
          </w:tcPr>
          <w:p>
            <w:pPr>
              <w:spacing w:after="0" w:line="271" w:lineRule="auto"/>
            </w:pPr>
            <w:r>
              <w:rPr>
                <w:rFonts w:ascii="Microsoft YaHei" w:hAnsi="Microsoft YaHei" w:eastAsia="Microsoft YaHei"/>
                <w:color w:val="262626"/>
                <w:sz w:val="17"/>
              </w:rPr>
              <w:t>用合同、验收、回款和现金流测算验证机会，不以宏观数据替代商业判断。</w:t>
            </w:r>
          </w:p>
        </w:tc>
      </w:tr>
    </w:tbl>
    <w:p>
      <w:pPr>
        <w:spacing w:after="20"/>
      </w:pPr>
    </w:p>
    <w:p>
      <w:pPr>
        <w:spacing w:before="100" w:after="40"/>
      </w:pPr>
      <w:r>
        <w:rPr>
          <w:rFonts w:ascii="Microsoft YaHei" w:hAnsi="Microsoft YaHei" w:eastAsia="Microsoft YaHei"/>
          <w:b/>
          <w:color w:val="9E1B32"/>
          <w:sz w:val="21"/>
        </w:rPr>
        <w:t>建议形成三张管理底表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 w:val="0"/>
          <w:color w:val="262626"/>
          <w:sz w:val="18"/>
        </w:rPr>
        <w:t>①税务申报与资金日历；②税收优惠资格及证据链清单；③订单—交付—验收—开票—回款闭环表。建议由财务、税务、业务与法务共同维护，将政策关注转化为可执行、可复核、可追踪的经营管理动作。</w:t>
      </w:r>
    </w:p>
    <w:p>
      <w:pPr>
        <w:keepNext/>
        <w:spacing w:before="100" w:after="80"/>
      </w:pPr>
      <w:r>
        <w:rPr>
          <w:rFonts w:ascii="Microsoft YaHei" w:hAnsi="Microsoft YaHei" w:eastAsia="Microsoft YaHei"/>
          <w:b/>
          <w:color w:val="9E1B32"/>
          <w:sz w:val="25"/>
        </w:rPr>
        <w:t>最终判断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262626"/>
          <w:sz w:val="21"/>
        </w:rPr>
        <w:t>本期最紧迫的不是追逐“新政标题”，而是把已经明确的期限与规则落实到具体责任人；最有价值的经营机会，也不是直接把行业增速当作增长承诺，而是通过客户预算、真实合同、交付验收、合法合规的政策资格和可回收现金流完成验证。</w:t>
      </w:r>
    </w:p>
    <w:p>
      <w:pPr>
        <w:spacing w:before="0" w:after="10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5B5B5B"/>
          <w:sz w:val="19"/>
        </w:rPr>
        <w:t>涉及优惠政策时，应以真实业务实质、正式资格条件、完整资料和现行有效文件为基础；涉及个人资产、跨境安排、重大重组或复杂税务事项时，应结合具体事实进行专项判断。</w:t>
      </w:r>
    </w:p>
    <w:p>
      <w:pPr>
        <w:spacing w:before="100" w:after="100" w:line="293" w:lineRule="auto"/>
        <w:keepLines/>
      </w:pPr>
      <w:r>
        <w:rPr>
          <w:rFonts w:ascii="Microsoft YaHei" w:hAnsi="Microsoft YaHei" w:eastAsia="Microsoft YaHei"/>
          <w:b w:val="0"/>
          <w:i/>
          <w:color w:val="5B5B5B"/>
          <w:sz w:val="17"/>
        </w:rPr>
        <w:t>内容定位：企业经营与财税决策参考。具体事项以现行有效法律法规、主管机关正式文件及企业所在地适用口径为准。</w:t>
      </w: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附录  </w:t>
      </w:r>
      <w:r>
        <w:rPr>
          <w:rFonts w:ascii="Microsoft YaHei" w:hAnsi="Microsoft YaHei" w:eastAsia="Microsoft YaHei"/>
          <w:b/>
          <w:color w:val="6F1024"/>
          <w:sz w:val="36"/>
        </w:rPr>
        <w:t>政策核验依据与官方原文</w:t>
      </w:r>
      <w:r>
        <w:rPr>
          <w:rFonts w:ascii="Microsoft YaHei" w:hAnsi="Microsoft YaHei" w:eastAsia="Microsoft YaHei"/>
          <w:color w:val="5B5B5B"/>
          <w:sz w:val="19"/>
        </w:rPr>
        <w:t xml:space="preserve">  建议收藏，便于后续复核</w:t>
      </w:r>
    </w:p>
    <w:p>
      <w:pPr>
        <w:spacing w:before="0" w:after="160" w:line="293" w:lineRule="auto"/>
        <w:keepLines/>
      </w:pPr>
      <w:r>
        <w:rPr>
          <w:rFonts w:ascii="Microsoft YaHei" w:hAnsi="Microsoft YaHei" w:eastAsia="Microsoft YaHei"/>
          <w:b w:val="0"/>
          <w:i w:val="0"/>
          <w:color w:val="5B5B5B"/>
          <w:sz w:val="18"/>
        </w:rPr>
        <w:t>以下来源优先采用政策发布机关或主管机关官方页面。政策适用性仍需结合企业主体、业务事实、所在地及后续文件判断。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S01  国家税务总局｜前三季度全国增值税发票数据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2026-10-23公开；全国2026年1—9月发票统计，含工业、数字经济、设备采购等指标。</w:t>
      </w:r>
    </w:p>
    <w:p>
      <w:pPr>
        <w:spacing w:after="100" w:line="252" w:lineRule="auto"/>
      </w:pPr>
      <w:hyperlink r:id="rId11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https://www.chinatax.gov.cn/chinatax/n810219/n810724/c5253104/content.html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S02  国家税务总局广东省税务局｜前三季度广东人工智能产业发票数据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2026-10-23公开；广东省2026年1—9月发票统计，地方口径。</w:t>
      </w:r>
    </w:p>
    <w:p>
      <w:pPr>
        <w:spacing w:after="100" w:line="252" w:lineRule="auto"/>
      </w:pPr>
      <w:hyperlink r:id="rId12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https://guangdong.chinatax.gov.cn/gdsw/zjsw_swxw/2026-10/23/content_62f3c624e958429dbb5edafe0f429ff2.shtml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S03  国家税务总局办公厅｜关于明确2026年度申报纳税期限的通知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税总办征科函〔2025〕64号；成文日期2025-12-10；全文有效。</w:t>
      </w:r>
    </w:p>
    <w:p>
      <w:pPr>
        <w:spacing w:after="100" w:line="252" w:lineRule="auto"/>
      </w:pPr>
      <w:hyperlink r:id="rId13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https://liaoning.chinatax.gov.cn/art/2025/12/10/art_5869_7713.html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S04  国家税务总局｜10月份预缴申报时如何享受研发费用加计扣除优惠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官方答复；说明10月预缴可自主选择，未在10月预缴享受的可在年度汇算清缴时统一享受。</w:t>
      </w:r>
    </w:p>
    <w:p>
      <w:pPr>
        <w:spacing w:after="100" w:line="252" w:lineRule="auto"/>
      </w:pPr>
      <w:hyperlink r:id="rId14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https://www.chinatax.gov.cn/chinatax/n810356/n3255681/c5244846/content.html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S05  国家税务总局公告2026年第11号｜成品油零售“交易即开票”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成文日期2026-06-08；全文有效；要求符合定义的成品油零售加油站于2026-11-01前实现。</w:t>
      </w:r>
    </w:p>
    <w:p>
      <w:pPr>
        <w:spacing w:after="100" w:line="252" w:lineRule="auto"/>
      </w:pPr>
      <w:hyperlink r:id="rId15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https://fgk.chinatax.gov.cn/zcfgk/c100012/c5250347/content.html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S06  国家税务总局公告2026年第20号｜《全国税务行政处罚裁量基准（2026年版）》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成文日期2026-09-28；自2026-11-01起施行。</w:t>
      </w:r>
    </w:p>
    <w:p>
      <w:pPr>
        <w:spacing w:after="100" w:line="252" w:lineRule="auto"/>
      </w:pPr>
      <w:hyperlink r:id="rId16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https://fgk.chinatax.gov.cn/zcfgk/c100012/c5252754/content.html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S07  财政部、税务总局公告2026年第21号｜离岸信托个人所得税有关事项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成文日期2026-07-24；规定离岸信托装入财产、存续收益及相关历史事项的申报口径。</w:t>
      </w:r>
    </w:p>
    <w:p>
      <w:pPr>
        <w:spacing w:after="100" w:line="252" w:lineRule="auto"/>
      </w:pPr>
      <w:hyperlink r:id="rId17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https://fgk.chinatax.gov.cn/zcfgk/c102416/c5251277/content.html</w:t>
      </w:r>
    </w:p>
    <w:p>
      <w:r>
        <w:br w:type="page"/>
      </w:r>
    </w:p>
    <w:p>
      <w:pPr>
        <w:keepNext/>
        <w:spacing w:before="80" w:after="160"/>
        <w:pBdr>
          <w:bottom w:val="single" w:sz="10" w:space="5" w:color="B89455"/>
        </w:pBdr>
      </w:pPr>
      <w:r>
        <w:rPr>
          <w:rFonts w:ascii="Microsoft YaHei" w:hAnsi="Microsoft YaHei" w:eastAsia="Microsoft YaHei"/>
          <w:b/>
          <w:color w:val="B89455"/>
          <w:sz w:val="36"/>
        </w:rPr>
        <w:t xml:space="preserve">附录  </w:t>
      </w:r>
      <w:r>
        <w:rPr>
          <w:rFonts w:ascii="Microsoft YaHei" w:hAnsi="Microsoft YaHei" w:eastAsia="Microsoft YaHei"/>
          <w:b/>
          <w:color w:val="6F1024"/>
          <w:sz w:val="36"/>
        </w:rPr>
        <w:t>政策核验依据与官方原文（续）</w:t>
      </w:r>
      <w:r>
        <w:rPr>
          <w:rFonts w:ascii="Microsoft YaHei" w:hAnsi="Microsoft YaHei" w:eastAsia="Microsoft YaHei"/>
          <w:color w:val="5B5B5B"/>
          <w:sz w:val="19"/>
        </w:rPr>
        <w:t xml:space="preserve">  官方链接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S08  国家税务总局｜关于离岸信托纳税申报事宜的提示提醒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2026-10-19公开；提示相关历史事项90日过渡期及2026-10-22前完成申报缴税的安排。</w:t>
      </w:r>
    </w:p>
    <w:p>
      <w:pPr>
        <w:spacing w:after="100" w:line="252" w:lineRule="auto"/>
      </w:pPr>
      <w:hyperlink r:id="rId18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https://www.chinatax.gov.cn/chinatax/n810214/c102374/c102375d/c5253047/content.html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S09  财政部｜2026年前三季度财政收支情况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2026-10-23公开；全国一般公共预算收入、税收收入和支出统计。</w:t>
      </w:r>
    </w:p>
    <w:p>
      <w:pPr>
        <w:spacing w:after="100" w:line="252" w:lineRule="auto"/>
      </w:pPr>
      <w:hyperlink r:id="rId19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https://gks.mof.gov.cn/tongjishuju/202610/t20261023_4003380.htm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S10  财政部｜2026年前三季度财政收支情况新闻发布会文字实录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2026-10-23公开；含新增专项债发行、资金投向及2027年部分新增地方债限额提前下达工作表述。</w:t>
      </w:r>
    </w:p>
    <w:p>
      <w:pPr>
        <w:spacing w:after="100" w:line="252" w:lineRule="auto"/>
      </w:pPr>
      <w:hyperlink r:id="rId20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https://www.mof.gov.cn/zhengwuxinxi/caizhengxinwen/202610/t20261023_4003429.htm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S11  财政部、税务总局公告2023年第43号｜先进制造业企业增值税加计抵减政策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政策执行期为2023-01-01至2027-12-31；符合条件的企业按当期可抵扣进项税额加计5%抵减应纳增值税。</w:t>
      </w:r>
    </w:p>
    <w:p>
      <w:pPr>
        <w:spacing w:after="100" w:line="252" w:lineRule="auto"/>
      </w:pPr>
      <w:hyperlink r:id="rId21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https://fgk.chinatax.gov.cn/zcfgk/c102416/c5212095/content.html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S12  工信厅联财函〔2026〕418号｜2026年度先进制造业企业名单制定工作有关事项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三部门通知；2026年度新申请企业自2026年10月起每月1—10日申报，截止2027-04-10。</w:t>
      </w:r>
    </w:p>
    <w:p>
      <w:pPr>
        <w:spacing w:after="100" w:line="252" w:lineRule="auto"/>
      </w:pPr>
      <w:hyperlink r:id="rId22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https://www.miit.gov.cn/jgsj/cws/wjfb/art/2026/art_3a5f48cc424540219cef547e6e0e0914.html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S13  国家发展改革委第50号令｜《能源保供中长期合同管理办法（试行）》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2026-10-19签署、2026-10-23公开；2026-12-01施行。</w:t>
      </w:r>
    </w:p>
    <w:p>
      <w:pPr>
        <w:spacing w:after="100" w:line="252" w:lineRule="auto"/>
      </w:pPr>
      <w:hyperlink r:id="rId23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https://www.ndrc.gov.cn/xxgk/zcfb/fzggwl/202610/t20261023_1408364.html</w:t>
      </w:r>
    </w:p>
    <w:p>
      <w:pPr>
        <w:keepNext/>
        <w:spacing w:before="80" w:after="20"/>
      </w:pPr>
      <w:r>
        <w:rPr>
          <w:rFonts w:ascii="Microsoft YaHei" w:hAnsi="Microsoft YaHei" w:eastAsia="Microsoft YaHei"/>
          <w:b/>
          <w:color w:val="6F1024"/>
          <w:sz w:val="19"/>
        </w:rPr>
        <w:t>S14  中国货币网｜2026年10月20日LPR公告</w:t>
      </w:r>
    </w:p>
    <w:p>
      <w:pPr>
        <w:spacing w:after="20" w:line="276" w:lineRule="auto"/>
      </w:pPr>
      <w:r>
        <w:rPr>
          <w:rFonts w:ascii="Microsoft YaHei" w:hAnsi="Microsoft YaHei" w:eastAsia="Microsoft YaHei"/>
          <w:color w:val="5B5B5B"/>
          <w:sz w:val="17"/>
        </w:rPr>
        <w:t>2026-10-20授权公布；1年期3.0%，5年期以上3.5%，在下一次发布前有效。</w:t>
      </w:r>
    </w:p>
    <w:p>
      <w:pPr>
        <w:spacing w:after="100" w:line="252" w:lineRule="auto"/>
      </w:pPr>
      <w:hyperlink r:id="rId24">
        <w:r>
          <w:rPr>
            <w:rFonts w:ascii="Microsoft YaHei" w:hAnsi="Microsoft YaHei" w:eastAsia="Microsoft YaHei"/>
            <w:color w:val="9E1B32"/>
            <w:u w:val="single"/>
            <w:sz w:val="17"/>
          </w:rPr>
          <w:t>点击打开官方原文</w:t>
        </w:r>
      </w:hyperlink>
      <w:r>
        <w:rPr>
          <w:rFonts w:ascii="Microsoft YaHei" w:hAnsi="Microsoft YaHei" w:eastAsia="Microsoft YaHei"/>
          <w:color w:val="5B5B5B"/>
          <w:sz w:val="15"/>
        </w:rPr>
        <w:t xml:space="preserve">  |  https://www.chinamoney.com.cn/chinese/rdgz/20261020/3433485.html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B5B5B"/>
        <w:sz w:val="16"/>
      </w:rPr>
      <w:t xml:space="preserve">企业决策参考｜以官方原文及企业实际业务为准  ·  </w:t>
    </w:r>
    <w:r>
      <w:rPr>
        <w:rFonts w:ascii="Microsoft YaHei" w:hAnsi="Microsoft YaHei" w:eastAsia="Microsoft YaHei"/>
        <w:color w:val="5B5B5B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4" w:color="9E1B32"/>
      </w:pBdr>
    </w:pPr>
    <w:r>
      <w:rPr>
        <w:rFonts w:ascii="Microsoft YaHei" w:hAnsi="Microsoft YaHei" w:eastAsia="Microsoft YaHei"/>
        <w:color w:val="5B5B5B"/>
        <w:sz w:val="16"/>
      </w:rPr>
      <w:t>财税早报  |  企业经营风险与机会  |  2026.10.25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Microsoft YaHei" w:hAnsi="Microsoft YaHei" w:eastAsia="Microsoft YaHe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6F102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9E1B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26262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6F1024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chinatax.gov.cn/chinatax/n810219/n810724/c5253104/content.html" TargetMode="External"/><Relationship Id="rId12" Type="http://schemas.openxmlformats.org/officeDocument/2006/relationships/hyperlink" Target="https://guangdong.chinatax.gov.cn/gdsw/zjsw_swxw/2026-10/23/content_62f3c624e958429dbb5edafe0f429ff2.shtml" TargetMode="External"/><Relationship Id="rId13" Type="http://schemas.openxmlformats.org/officeDocument/2006/relationships/hyperlink" Target="https://liaoning.chinatax.gov.cn/art/2025/12/10/art_5869_7713.html" TargetMode="External"/><Relationship Id="rId14" Type="http://schemas.openxmlformats.org/officeDocument/2006/relationships/hyperlink" Target="https://www.chinatax.gov.cn/chinatax/n810356/n3255681/c5244846/content.html" TargetMode="External"/><Relationship Id="rId15" Type="http://schemas.openxmlformats.org/officeDocument/2006/relationships/hyperlink" Target="https://fgk.chinatax.gov.cn/zcfgk/c100012/c5250347/content.html" TargetMode="External"/><Relationship Id="rId16" Type="http://schemas.openxmlformats.org/officeDocument/2006/relationships/hyperlink" Target="https://fgk.chinatax.gov.cn/zcfgk/c100012/c5252754/content.html" TargetMode="External"/><Relationship Id="rId17" Type="http://schemas.openxmlformats.org/officeDocument/2006/relationships/hyperlink" Target="https://fgk.chinatax.gov.cn/zcfgk/c102416/c5251277/content.html" TargetMode="External"/><Relationship Id="rId18" Type="http://schemas.openxmlformats.org/officeDocument/2006/relationships/hyperlink" Target="https://www.chinatax.gov.cn/chinatax/n810214/c102374/c102375d/c5253047/content.html" TargetMode="External"/><Relationship Id="rId19" Type="http://schemas.openxmlformats.org/officeDocument/2006/relationships/hyperlink" Target="https://gks.mof.gov.cn/tongjishuju/202610/t20261023_4003380.htm" TargetMode="External"/><Relationship Id="rId20" Type="http://schemas.openxmlformats.org/officeDocument/2006/relationships/hyperlink" Target="https://www.mof.gov.cn/zhengwuxinxi/caizhengxinwen/202610/t20261023_4003429.htm" TargetMode="External"/><Relationship Id="rId21" Type="http://schemas.openxmlformats.org/officeDocument/2006/relationships/hyperlink" Target="https://fgk.chinatax.gov.cn/zcfgk/c102416/c5212095/content.html" TargetMode="External"/><Relationship Id="rId22" Type="http://schemas.openxmlformats.org/officeDocument/2006/relationships/hyperlink" Target="https://www.miit.gov.cn/jgsj/cws/wjfb/art/2026/art_3a5f48cc424540219cef547e6e0e0914.html" TargetMode="External"/><Relationship Id="rId23" Type="http://schemas.openxmlformats.org/officeDocument/2006/relationships/hyperlink" Target="https://www.ndrc.gov.cn/xxgk/zcfb/fzggwl/202610/t20261023_1408364.html" TargetMode="External"/><Relationship Id="rId24" Type="http://schemas.openxmlformats.org/officeDocument/2006/relationships/hyperlink" Target="https://www.chinamoney.com.cn/chinese/rdgz/20261020/34334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财税早报｜企业经营风险与机会｜2026年10月25日</dc:title>
  <dc:subject>企业家决策版财税政策核验与行动建议</dc:subject>
  <dc:creator>OpenAI</dc:creator>
  <cp:keywords>财税早报, 企业经营, 税务合规, 政策核验, 2026-10-25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